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E3295D">
        <w:t>Pole powierzchni ostrosłupa – rozwiązywanie zadań</w:t>
      </w:r>
      <w:r w:rsidR="00DE6566">
        <w:t xml:space="preserve">. </w:t>
      </w:r>
    </w:p>
    <w:p w:rsidR="00080676" w:rsidRDefault="00DE6566" w:rsidP="001136AC">
      <w:r>
        <w:t xml:space="preserve">Zadania </w:t>
      </w:r>
      <w:r w:rsidR="00E3295D">
        <w:t>4, 5, 6 str. 207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E3295D">
        <w:t>od 9 do 12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3B7F73"/>
    <w:rsid w:val="006B5009"/>
    <w:rsid w:val="008E14C5"/>
    <w:rsid w:val="00CC4CF6"/>
    <w:rsid w:val="00CF3A78"/>
    <w:rsid w:val="00D440D4"/>
    <w:rsid w:val="00DE6566"/>
    <w:rsid w:val="00E3295D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9384-13C7-4591-A562-D4E97D5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2020-04-15T05:30:00Z</dcterms:created>
  <dcterms:modified xsi:type="dcterms:W3CDTF">2020-04-15T05:30:00Z</dcterms:modified>
</cp:coreProperties>
</file>